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173C1" w14:textId="49B7FA51" w:rsidR="00AB42A3" w:rsidRDefault="00DD5AC8" w:rsidP="00DD5AC8">
      <w:pPr>
        <w:jc w:val="center"/>
        <w:rPr>
          <w:b/>
          <w:bCs/>
        </w:rPr>
      </w:pPr>
      <w:r w:rsidRPr="00DD5AC8">
        <w:rPr>
          <w:b/>
          <w:bCs/>
        </w:rPr>
        <w:t>PROPUESTA DE FICHA DE SEGUIMIENTO A LOS PROYECTOS DEL PLAN DE ACCIÓN</w:t>
      </w:r>
      <w:r w:rsidR="00526AD3">
        <w:rPr>
          <w:b/>
          <w:bCs/>
        </w:rPr>
        <w:t xml:space="preserve"> DEL CONSEJO NACIONAL DEL AGUA</w:t>
      </w:r>
    </w:p>
    <w:p w14:paraId="1C83F9FE" w14:textId="77777777" w:rsidR="00DD5AC8" w:rsidRDefault="00DD5AC8" w:rsidP="00DD5AC8">
      <w:pPr>
        <w:jc w:val="center"/>
        <w:rPr>
          <w:b/>
          <w:bCs/>
        </w:rPr>
      </w:pPr>
    </w:p>
    <w:tbl>
      <w:tblPr>
        <w:tblStyle w:val="Tablaconcuadrcula"/>
        <w:tblW w:w="0" w:type="auto"/>
        <w:tblLook w:val="04A0" w:firstRow="1" w:lastRow="0" w:firstColumn="1" w:lastColumn="0" w:noHBand="0" w:noVBand="1"/>
      </w:tblPr>
      <w:tblGrid>
        <w:gridCol w:w="2405"/>
        <w:gridCol w:w="2552"/>
        <w:gridCol w:w="1664"/>
        <w:gridCol w:w="2207"/>
      </w:tblGrid>
      <w:tr w:rsidR="00526AD3" w14:paraId="44FBB0E5" w14:textId="77777777" w:rsidTr="0033637F">
        <w:trPr>
          <w:trHeight w:val="640"/>
        </w:trPr>
        <w:tc>
          <w:tcPr>
            <w:tcW w:w="8828" w:type="dxa"/>
            <w:gridSpan w:val="4"/>
            <w:shd w:val="clear" w:color="auto" w:fill="8EAADB" w:themeFill="accent1" w:themeFillTint="99"/>
            <w:vAlign w:val="center"/>
          </w:tcPr>
          <w:p w14:paraId="21C95CD9" w14:textId="408C55B2" w:rsidR="00526AD3" w:rsidRDefault="00526AD3" w:rsidP="0033637F">
            <w:pPr>
              <w:jc w:val="center"/>
              <w:rPr>
                <w:b/>
                <w:bCs/>
              </w:rPr>
            </w:pPr>
            <w:r>
              <w:rPr>
                <w:b/>
                <w:bCs/>
              </w:rPr>
              <w:t>SEGUIMIENTO A LA IMPLEMENTACIÓN DE PROYECTOS DEL PLAN DE ACCIÓN DEL CNA 2023 - 2026</w:t>
            </w:r>
          </w:p>
        </w:tc>
      </w:tr>
      <w:tr w:rsidR="00526AD3" w14:paraId="46CAFE6C" w14:textId="77777777" w:rsidTr="0033637F">
        <w:tc>
          <w:tcPr>
            <w:tcW w:w="2405" w:type="dxa"/>
            <w:shd w:val="clear" w:color="auto" w:fill="8EAADB" w:themeFill="accent1" w:themeFillTint="99"/>
            <w:vAlign w:val="center"/>
          </w:tcPr>
          <w:p w14:paraId="02627755" w14:textId="4F1E5C4F" w:rsidR="00526AD3" w:rsidRDefault="00526AD3" w:rsidP="0033637F">
            <w:pPr>
              <w:jc w:val="center"/>
              <w:rPr>
                <w:b/>
                <w:bCs/>
              </w:rPr>
            </w:pPr>
            <w:r>
              <w:rPr>
                <w:b/>
                <w:bCs/>
              </w:rPr>
              <w:t>Nombre del proyecto:</w:t>
            </w:r>
          </w:p>
        </w:tc>
        <w:tc>
          <w:tcPr>
            <w:tcW w:w="6423" w:type="dxa"/>
            <w:gridSpan w:val="3"/>
            <w:vAlign w:val="center"/>
          </w:tcPr>
          <w:p w14:paraId="23CE9230" w14:textId="1F581E84" w:rsidR="00526AD3" w:rsidRDefault="005915A0" w:rsidP="0033637F">
            <w:pPr>
              <w:jc w:val="center"/>
              <w:rPr>
                <w:b/>
                <w:bCs/>
              </w:rPr>
            </w:pPr>
            <w:r w:rsidRPr="00373A26">
              <w:t>Desarrollar la propuesta de reglamentación del artículo 25 de la Ley 2294 de 2023</w:t>
            </w:r>
          </w:p>
        </w:tc>
      </w:tr>
      <w:tr w:rsidR="00526AD3" w14:paraId="466B1545" w14:textId="77777777" w:rsidTr="00662115">
        <w:tc>
          <w:tcPr>
            <w:tcW w:w="2405" w:type="dxa"/>
            <w:shd w:val="clear" w:color="auto" w:fill="8EAADB" w:themeFill="accent1" w:themeFillTint="99"/>
            <w:vAlign w:val="center"/>
          </w:tcPr>
          <w:p w14:paraId="748F5DE8" w14:textId="5AC81C9D" w:rsidR="00526AD3" w:rsidRDefault="00526AD3" w:rsidP="0033637F">
            <w:pPr>
              <w:jc w:val="center"/>
              <w:rPr>
                <w:b/>
                <w:bCs/>
              </w:rPr>
            </w:pPr>
            <w:r>
              <w:rPr>
                <w:b/>
                <w:bCs/>
              </w:rPr>
              <w:t>Plazo de Ejecución:</w:t>
            </w:r>
          </w:p>
        </w:tc>
        <w:tc>
          <w:tcPr>
            <w:tcW w:w="2552" w:type="dxa"/>
            <w:vAlign w:val="center"/>
          </w:tcPr>
          <w:p w14:paraId="3B1283F8" w14:textId="2CC408FC" w:rsidR="00526AD3" w:rsidRDefault="005915A0" w:rsidP="0033637F">
            <w:pPr>
              <w:jc w:val="center"/>
              <w:rPr>
                <w:b/>
                <w:bCs/>
              </w:rPr>
            </w:pPr>
            <w:r>
              <w:t xml:space="preserve">31 de </w:t>
            </w:r>
            <w:r w:rsidR="002A0320">
              <w:t>julio</w:t>
            </w:r>
            <w:r>
              <w:t xml:space="preserve"> de 2024</w:t>
            </w:r>
          </w:p>
        </w:tc>
        <w:tc>
          <w:tcPr>
            <w:tcW w:w="1664" w:type="dxa"/>
            <w:shd w:val="clear" w:color="auto" w:fill="8EAADB" w:themeFill="accent1" w:themeFillTint="99"/>
            <w:vAlign w:val="center"/>
          </w:tcPr>
          <w:p w14:paraId="505D9024" w14:textId="53C52442" w:rsidR="00526AD3" w:rsidRDefault="00526AD3" w:rsidP="0033637F">
            <w:pPr>
              <w:jc w:val="center"/>
              <w:rPr>
                <w:b/>
                <w:bCs/>
              </w:rPr>
            </w:pPr>
            <w:r>
              <w:rPr>
                <w:b/>
                <w:bCs/>
              </w:rPr>
              <w:t>Entidad Líder</w:t>
            </w:r>
          </w:p>
        </w:tc>
        <w:tc>
          <w:tcPr>
            <w:tcW w:w="2207" w:type="dxa"/>
            <w:vAlign w:val="center"/>
          </w:tcPr>
          <w:p w14:paraId="20CC9032" w14:textId="77777777" w:rsidR="00526AD3" w:rsidRDefault="005915A0" w:rsidP="008E2CA8">
            <w:pPr>
              <w:jc w:val="center"/>
            </w:pPr>
            <w:r w:rsidRPr="00373A26">
              <w:t>Ministerio de Ambiente y Desarrollo Sostenible</w:t>
            </w:r>
          </w:p>
          <w:p w14:paraId="2BAD9436" w14:textId="77777777" w:rsidR="005E74D5" w:rsidRDefault="005E74D5" w:rsidP="008E2CA8">
            <w:pPr>
              <w:jc w:val="center"/>
            </w:pPr>
          </w:p>
          <w:p w14:paraId="306FA71F" w14:textId="3D1BABB7" w:rsidR="005E74D5" w:rsidRPr="008E2CA8" w:rsidRDefault="005E74D5" w:rsidP="008E2CA8">
            <w:pPr>
              <w:jc w:val="center"/>
            </w:pPr>
            <w:r w:rsidRPr="00373A26">
              <w:t>Ministerio de Vivienda Ciudad y Territorio</w:t>
            </w:r>
          </w:p>
        </w:tc>
      </w:tr>
      <w:tr w:rsidR="00526AD3" w14:paraId="5A1C5F15" w14:textId="77777777" w:rsidTr="00662115">
        <w:trPr>
          <w:trHeight w:val="855"/>
        </w:trPr>
        <w:tc>
          <w:tcPr>
            <w:tcW w:w="2405" w:type="dxa"/>
            <w:shd w:val="clear" w:color="auto" w:fill="8EAADB" w:themeFill="accent1" w:themeFillTint="99"/>
            <w:vAlign w:val="center"/>
          </w:tcPr>
          <w:p w14:paraId="151BDD13" w14:textId="49FE8BAD" w:rsidR="00526AD3" w:rsidRDefault="00526AD3" w:rsidP="0033637F">
            <w:pPr>
              <w:jc w:val="center"/>
              <w:rPr>
                <w:b/>
                <w:bCs/>
              </w:rPr>
            </w:pPr>
            <w:r>
              <w:rPr>
                <w:b/>
                <w:bCs/>
              </w:rPr>
              <w:t>Porcentaje de avance:</w:t>
            </w:r>
          </w:p>
        </w:tc>
        <w:tc>
          <w:tcPr>
            <w:tcW w:w="2552" w:type="dxa"/>
            <w:vAlign w:val="center"/>
          </w:tcPr>
          <w:p w14:paraId="1625ABD4" w14:textId="77777777" w:rsidR="008E2CA8" w:rsidRPr="008E2CA8" w:rsidRDefault="008E2CA8" w:rsidP="0033637F">
            <w:pPr>
              <w:jc w:val="center"/>
            </w:pPr>
          </w:p>
          <w:p w14:paraId="29A89F31" w14:textId="267C2C69" w:rsidR="008E2CA8" w:rsidRPr="008E2CA8" w:rsidRDefault="008E2CA8" w:rsidP="008E2CA8">
            <w:pPr>
              <w:jc w:val="both"/>
            </w:pPr>
            <w:r w:rsidRPr="00662115">
              <w:rPr>
                <w:b/>
                <w:bCs/>
              </w:rPr>
              <w:t>Hito 1:</w:t>
            </w:r>
            <w:r w:rsidRPr="008E2CA8">
              <w:t xml:space="preserve"> Gestión de la línea base y diagnóstico</w:t>
            </w:r>
            <w:r>
              <w:t xml:space="preserve">: </w:t>
            </w:r>
            <w:r w:rsidRPr="0043302D">
              <w:rPr>
                <w:b/>
                <w:bCs/>
              </w:rPr>
              <w:t>100%</w:t>
            </w:r>
          </w:p>
          <w:p w14:paraId="44EFE7FA" w14:textId="36217118" w:rsidR="008E2CA8" w:rsidRPr="008E2CA8" w:rsidRDefault="008E2CA8" w:rsidP="008E2CA8">
            <w:pPr>
              <w:jc w:val="both"/>
            </w:pPr>
            <w:r w:rsidRPr="00662115">
              <w:rPr>
                <w:b/>
                <w:bCs/>
              </w:rPr>
              <w:t>Hito 2:</w:t>
            </w:r>
            <w:r w:rsidRPr="008E2CA8">
              <w:t xml:space="preserve"> Desarrollo de evaluaciones</w:t>
            </w:r>
            <w:r>
              <w:t xml:space="preserve">: </w:t>
            </w:r>
            <w:r w:rsidR="00B25AE5" w:rsidRPr="0043302D">
              <w:rPr>
                <w:b/>
                <w:bCs/>
              </w:rPr>
              <w:t>100</w:t>
            </w:r>
            <w:r w:rsidRPr="0043302D">
              <w:rPr>
                <w:b/>
                <w:bCs/>
              </w:rPr>
              <w:t xml:space="preserve">% </w:t>
            </w:r>
          </w:p>
          <w:p w14:paraId="42A33F1B" w14:textId="5BBD6D9B" w:rsidR="008E2CA8" w:rsidRPr="008E2CA8" w:rsidRDefault="008E2CA8" w:rsidP="008E2CA8">
            <w:pPr>
              <w:jc w:val="both"/>
            </w:pPr>
            <w:r w:rsidRPr="00662115">
              <w:rPr>
                <w:b/>
                <w:bCs/>
              </w:rPr>
              <w:t>Hito 3:</w:t>
            </w:r>
            <w:r w:rsidRPr="008E2CA8">
              <w:t xml:space="preserve"> Desarrollo de estudios</w:t>
            </w:r>
            <w:r w:rsidR="005E74D5">
              <w:t xml:space="preserve"> (Documento Técnico de Soporte)</w:t>
            </w:r>
            <w:r>
              <w:t xml:space="preserve">: </w:t>
            </w:r>
            <w:r w:rsidR="00B25AE5" w:rsidRPr="0043302D">
              <w:rPr>
                <w:b/>
                <w:bCs/>
              </w:rPr>
              <w:t>10</w:t>
            </w:r>
            <w:r w:rsidRPr="0043302D">
              <w:rPr>
                <w:b/>
                <w:bCs/>
              </w:rPr>
              <w:t>0%</w:t>
            </w:r>
          </w:p>
          <w:p w14:paraId="0BB8CE1F" w14:textId="1546C873" w:rsidR="008E2CA8" w:rsidRPr="008E2CA8" w:rsidRDefault="008E2CA8" w:rsidP="008E2CA8">
            <w:pPr>
              <w:jc w:val="both"/>
            </w:pPr>
            <w:r w:rsidRPr="00662115">
              <w:rPr>
                <w:b/>
                <w:bCs/>
              </w:rPr>
              <w:t>Hito 4:</w:t>
            </w:r>
            <w:r w:rsidRPr="008E2CA8">
              <w:t xml:space="preserve"> Desarrollo de la propuesta para el ajuste a la reglamentación</w:t>
            </w:r>
            <w:r>
              <w:t xml:space="preserve">: </w:t>
            </w:r>
            <w:r w:rsidR="00B25AE5" w:rsidRPr="0043302D">
              <w:rPr>
                <w:b/>
                <w:bCs/>
              </w:rPr>
              <w:t>100</w:t>
            </w:r>
            <w:r w:rsidRPr="0043302D">
              <w:rPr>
                <w:b/>
                <w:bCs/>
              </w:rPr>
              <w:t>%</w:t>
            </w:r>
          </w:p>
          <w:p w14:paraId="4BC83089" w14:textId="00330BDF" w:rsidR="008E2CA8" w:rsidRPr="008E2CA8" w:rsidRDefault="008E2CA8" w:rsidP="008E2CA8">
            <w:pPr>
              <w:jc w:val="both"/>
            </w:pPr>
            <w:r w:rsidRPr="00662115">
              <w:rPr>
                <w:b/>
                <w:bCs/>
              </w:rPr>
              <w:t>Hito 5:</w:t>
            </w:r>
            <w:r w:rsidRPr="008E2CA8">
              <w:t xml:space="preserve"> Presentación de la propuesta de decreto ante los actores involucrados</w:t>
            </w:r>
            <w:r>
              <w:t xml:space="preserve">: </w:t>
            </w:r>
            <w:r w:rsidR="0043302D">
              <w:rPr>
                <w:b/>
                <w:bCs/>
              </w:rPr>
              <w:t>100</w:t>
            </w:r>
            <w:r w:rsidRPr="0043302D">
              <w:rPr>
                <w:b/>
                <w:bCs/>
              </w:rPr>
              <w:t>%</w:t>
            </w:r>
          </w:p>
          <w:p w14:paraId="5AFDD90C" w14:textId="77777777" w:rsidR="008E2CA8" w:rsidRDefault="008E2CA8" w:rsidP="0033637F">
            <w:pPr>
              <w:jc w:val="center"/>
              <w:rPr>
                <w:b/>
                <w:bCs/>
              </w:rPr>
            </w:pPr>
          </w:p>
          <w:p w14:paraId="68FCCFAE" w14:textId="3FF283CF" w:rsidR="00526AD3" w:rsidRDefault="005E74D5" w:rsidP="0033637F">
            <w:pPr>
              <w:jc w:val="center"/>
              <w:rPr>
                <w:b/>
                <w:bCs/>
              </w:rPr>
            </w:pPr>
            <w:r>
              <w:rPr>
                <w:b/>
                <w:bCs/>
              </w:rPr>
              <w:t>Porcentaje t</w:t>
            </w:r>
            <w:r w:rsidR="008E2CA8">
              <w:rPr>
                <w:b/>
                <w:bCs/>
              </w:rPr>
              <w:t xml:space="preserve">otal: </w:t>
            </w:r>
            <w:r w:rsidR="00BD30EC">
              <w:rPr>
                <w:b/>
                <w:bCs/>
              </w:rPr>
              <w:t>100</w:t>
            </w:r>
            <w:r w:rsidR="005915A0">
              <w:rPr>
                <w:b/>
                <w:bCs/>
              </w:rPr>
              <w:t>%</w:t>
            </w:r>
          </w:p>
        </w:tc>
        <w:tc>
          <w:tcPr>
            <w:tcW w:w="1664" w:type="dxa"/>
            <w:shd w:val="clear" w:color="auto" w:fill="8EAADB" w:themeFill="accent1" w:themeFillTint="99"/>
            <w:vAlign w:val="center"/>
          </w:tcPr>
          <w:p w14:paraId="45B845BD" w14:textId="73D622AD" w:rsidR="00526AD3" w:rsidRDefault="00526AD3" w:rsidP="0033637F">
            <w:pPr>
              <w:jc w:val="center"/>
              <w:rPr>
                <w:b/>
                <w:bCs/>
              </w:rPr>
            </w:pPr>
            <w:r>
              <w:rPr>
                <w:b/>
                <w:bCs/>
              </w:rPr>
              <w:t>Fecha estimada de finalización:</w:t>
            </w:r>
          </w:p>
        </w:tc>
        <w:tc>
          <w:tcPr>
            <w:tcW w:w="2207" w:type="dxa"/>
            <w:vAlign w:val="center"/>
          </w:tcPr>
          <w:p w14:paraId="49584358" w14:textId="618BE933" w:rsidR="00526AD3" w:rsidRDefault="005915A0" w:rsidP="0033637F">
            <w:pPr>
              <w:jc w:val="center"/>
              <w:rPr>
                <w:b/>
                <w:bCs/>
              </w:rPr>
            </w:pPr>
            <w:r>
              <w:t>Diciembre</w:t>
            </w:r>
            <w:r w:rsidRPr="00373A26">
              <w:t xml:space="preserve"> 202</w:t>
            </w:r>
            <w:r>
              <w:t>4</w:t>
            </w:r>
          </w:p>
        </w:tc>
      </w:tr>
      <w:tr w:rsidR="00526AD3" w14:paraId="7B3B95CA" w14:textId="77777777" w:rsidTr="0033637F">
        <w:tc>
          <w:tcPr>
            <w:tcW w:w="2405" w:type="dxa"/>
            <w:shd w:val="clear" w:color="auto" w:fill="8EAADB" w:themeFill="accent1" w:themeFillTint="99"/>
            <w:vAlign w:val="center"/>
          </w:tcPr>
          <w:p w14:paraId="0D7899D9" w14:textId="2D6CB86E" w:rsidR="00526AD3" w:rsidRDefault="00526AD3" w:rsidP="0033637F">
            <w:pPr>
              <w:jc w:val="center"/>
              <w:rPr>
                <w:b/>
                <w:bCs/>
              </w:rPr>
            </w:pPr>
            <w:r>
              <w:rPr>
                <w:b/>
                <w:bCs/>
              </w:rPr>
              <w:t>Acciones desarrolladas:</w:t>
            </w:r>
          </w:p>
        </w:tc>
        <w:tc>
          <w:tcPr>
            <w:tcW w:w="6423" w:type="dxa"/>
            <w:gridSpan w:val="3"/>
            <w:vAlign w:val="center"/>
          </w:tcPr>
          <w:p w14:paraId="0BA54AE6" w14:textId="24E91F3E" w:rsidR="00CE1B44" w:rsidRPr="00CE1B44" w:rsidRDefault="00CE1B44" w:rsidP="000D4687">
            <w:pPr>
              <w:jc w:val="both"/>
            </w:pPr>
            <w:r w:rsidRPr="00662115">
              <w:rPr>
                <w:b/>
                <w:bCs/>
              </w:rPr>
              <w:t xml:space="preserve">Hito </w:t>
            </w:r>
            <w:r>
              <w:rPr>
                <w:b/>
                <w:bCs/>
              </w:rPr>
              <w:t>1</w:t>
            </w:r>
            <w:r w:rsidRPr="00662115">
              <w:rPr>
                <w:b/>
                <w:bCs/>
              </w:rPr>
              <w:t>:</w:t>
            </w:r>
            <w:r>
              <w:rPr>
                <w:b/>
                <w:bCs/>
              </w:rPr>
              <w:t xml:space="preserve"> </w:t>
            </w:r>
            <w:r w:rsidRPr="00CE1B44">
              <w:t>Cumplido conforme a lo dispuesto en reportes anteriores.</w:t>
            </w:r>
          </w:p>
          <w:p w14:paraId="6FE954CE" w14:textId="77777777" w:rsidR="00CE1B44" w:rsidRDefault="00CE1B44" w:rsidP="000D4687">
            <w:pPr>
              <w:jc w:val="both"/>
              <w:rPr>
                <w:b/>
                <w:bCs/>
              </w:rPr>
            </w:pPr>
          </w:p>
          <w:p w14:paraId="4D33FFCC" w14:textId="6B1E6BD5" w:rsidR="000D4687" w:rsidRPr="000D4687" w:rsidRDefault="00662115" w:rsidP="000D4687">
            <w:pPr>
              <w:jc w:val="both"/>
            </w:pPr>
            <w:r w:rsidRPr="00662115">
              <w:rPr>
                <w:b/>
                <w:bCs/>
              </w:rPr>
              <w:t xml:space="preserve">Hito 2: </w:t>
            </w:r>
            <w:r w:rsidR="0043302D" w:rsidRPr="00CE1B44">
              <w:t>Cumplido conforme a lo dispuesto en reportes anteriores.</w:t>
            </w:r>
          </w:p>
          <w:p w14:paraId="2342C31A" w14:textId="5EE90222" w:rsidR="008E2CA8" w:rsidRDefault="008E2CA8" w:rsidP="008E2CA8">
            <w:pPr>
              <w:jc w:val="both"/>
            </w:pPr>
          </w:p>
          <w:p w14:paraId="6C04C179" w14:textId="2EEB0891" w:rsidR="005E74D5" w:rsidRDefault="00662115" w:rsidP="005E74D5">
            <w:pPr>
              <w:jc w:val="both"/>
            </w:pPr>
            <w:r w:rsidRPr="00662115">
              <w:rPr>
                <w:b/>
                <w:bCs/>
              </w:rPr>
              <w:t>Hito 3:</w:t>
            </w:r>
            <w:r>
              <w:rPr>
                <w:b/>
                <w:bCs/>
              </w:rPr>
              <w:t xml:space="preserve"> </w:t>
            </w:r>
            <w:r w:rsidR="0043302D" w:rsidRPr="00CE1B44">
              <w:t>Cumplido conforme a lo dispuesto en reportes anteriores.</w:t>
            </w:r>
          </w:p>
          <w:p w14:paraId="4DC84A47" w14:textId="77777777" w:rsidR="005E74D5" w:rsidRDefault="005E74D5" w:rsidP="005E74D5">
            <w:pPr>
              <w:jc w:val="both"/>
            </w:pPr>
          </w:p>
          <w:p w14:paraId="29C9F35D" w14:textId="0296A784" w:rsidR="0043302D" w:rsidRPr="000D4687" w:rsidRDefault="005E74D5" w:rsidP="0043302D">
            <w:pPr>
              <w:jc w:val="both"/>
            </w:pPr>
            <w:r w:rsidRPr="00662115">
              <w:rPr>
                <w:b/>
                <w:bCs/>
              </w:rPr>
              <w:t xml:space="preserve">Hito </w:t>
            </w:r>
            <w:r w:rsidR="00DA6CE5" w:rsidRPr="00662115">
              <w:rPr>
                <w:b/>
                <w:bCs/>
              </w:rPr>
              <w:t>4:</w:t>
            </w:r>
            <w:r w:rsidR="0043302D">
              <w:t xml:space="preserve"> </w:t>
            </w:r>
            <w:r w:rsidR="0043302D" w:rsidRPr="00CE1B44">
              <w:t>Cumplido conforme a lo dispuesto en reportes anteriores.</w:t>
            </w:r>
          </w:p>
          <w:p w14:paraId="0C298D28" w14:textId="77777777" w:rsidR="006A674A" w:rsidRDefault="006A674A" w:rsidP="008E2CA8">
            <w:pPr>
              <w:jc w:val="both"/>
            </w:pPr>
          </w:p>
          <w:p w14:paraId="1938057C" w14:textId="48FE35CC" w:rsidR="00B92E1A" w:rsidRDefault="006A674A" w:rsidP="008E2CA8">
            <w:pPr>
              <w:jc w:val="both"/>
            </w:pPr>
            <w:r w:rsidRPr="00662115">
              <w:rPr>
                <w:b/>
                <w:bCs/>
              </w:rPr>
              <w:t xml:space="preserve">Hito </w:t>
            </w:r>
            <w:r>
              <w:rPr>
                <w:b/>
                <w:bCs/>
              </w:rPr>
              <w:t>5</w:t>
            </w:r>
            <w:r w:rsidRPr="00662115">
              <w:rPr>
                <w:b/>
                <w:bCs/>
              </w:rPr>
              <w:t>:</w:t>
            </w:r>
            <w:r>
              <w:rPr>
                <w:b/>
                <w:bCs/>
              </w:rPr>
              <w:t xml:space="preserve"> </w:t>
            </w:r>
            <w:r w:rsidR="0045384B">
              <w:t>La</w:t>
            </w:r>
            <w:r w:rsidR="00195507">
              <w:t xml:space="preserve"> consulta pública del proyecto de decreto </w:t>
            </w:r>
            <w:r w:rsidR="004356D6">
              <w:t xml:space="preserve">reglamentario </w:t>
            </w:r>
            <w:r w:rsidR="0045384B">
              <w:t xml:space="preserve">y sus respectivos anexos, inició el 29 de noviembre de 2024 y cerró el 13 de diciembre de 2024, acción que puede verificarse accediendo a través del enlace: &lt; </w:t>
            </w:r>
            <w:hyperlink r:id="rId5" w:history="1">
              <w:r w:rsidR="0045384B" w:rsidRPr="00906DA2">
                <w:rPr>
                  <w:rStyle w:val="Hipervnculo"/>
                </w:rPr>
                <w:t>https://www.minambiente.gov.co/consulta/por-el-cual-se-sustituye-el-capitulo-7-del-titulo-9-de-la-parte-2-del-libro-2-del-decreto-1076-de-2015-decreto-unico-reglamentario-del-sector-ambiente-y-desarrollo-sostenible-en-lo-relacio/</w:t>
              </w:r>
            </w:hyperlink>
            <w:r w:rsidR="0045384B">
              <w:t xml:space="preserve">&gt; </w:t>
            </w:r>
          </w:p>
          <w:p w14:paraId="774088BB" w14:textId="77777777" w:rsidR="00526AD3" w:rsidRDefault="00C409C5" w:rsidP="00A04F65">
            <w:pPr>
              <w:jc w:val="both"/>
            </w:pPr>
            <w:r w:rsidRPr="00C409C5">
              <w:lastRenderedPageBreak/>
              <w:t xml:space="preserve">Durante dicho período </w:t>
            </w:r>
            <w:r w:rsidR="005F24FB" w:rsidRPr="005F24FB">
              <w:t>se recibieron 346 comentarios</w:t>
            </w:r>
            <w:r w:rsidR="005F24FB">
              <w:t xml:space="preserve"> y/u observaciones </w:t>
            </w:r>
            <w:r w:rsidR="005F24FB" w:rsidRPr="005F24FB">
              <w:t>de</w:t>
            </w:r>
            <w:r w:rsidR="005F24FB" w:rsidRPr="005F24FB">
              <w:t xml:space="preserve"> parte de 26 actores frente al proyecto de Decreto. Las enunciadas observaciones y las consideraciones o respuestas frente a la mismas dadas por esta cartera ministerial, de conformidad con el procedimiento de expedición normativa establecido por este Ministerio fueron consolidadas en el Formato F-M-INA-25 (anexo), el cual fue publicado para los fines de consulta </w:t>
            </w:r>
            <w:r w:rsidR="00F13BF2">
              <w:t xml:space="preserve">y descarga </w:t>
            </w:r>
            <w:r w:rsidR="005F24FB" w:rsidRPr="005F24FB">
              <w:t>de la ciudadanía en general el día 20/12/2024</w:t>
            </w:r>
            <w:r w:rsidR="00F13BF2">
              <w:t xml:space="preserve"> y se encuentra disponible dentro del enlace enunciado.</w:t>
            </w:r>
          </w:p>
          <w:p w14:paraId="4E37E327" w14:textId="77777777" w:rsidR="00F13BF2" w:rsidRDefault="00F13BF2" w:rsidP="00A04F65">
            <w:pPr>
              <w:jc w:val="both"/>
            </w:pPr>
          </w:p>
          <w:p w14:paraId="2E977D17" w14:textId="3FC8C2E7" w:rsidR="00F13BF2" w:rsidRDefault="00F13BF2" w:rsidP="00A04F65">
            <w:pPr>
              <w:jc w:val="both"/>
            </w:pPr>
            <w:r>
              <w:t>Posterior al cierre de la consulta</w:t>
            </w:r>
            <w:r w:rsidR="0092681F">
              <w:t>, el Ministerio de Vivienda Ciudad y Territorio</w:t>
            </w:r>
            <w:r w:rsidR="000F77F7">
              <w:t>,</w:t>
            </w:r>
            <w:r w:rsidR="004B2588">
              <w:t xml:space="preserve"> conforme al mandato del artículo 25 de la Ley 2294 de 2023.</w:t>
            </w:r>
            <w:r w:rsidR="000F77F7">
              <w:t xml:space="preserve"> el 20 de diciembre de 2024 </w:t>
            </w:r>
            <w:r w:rsidR="0092681F">
              <w:t>remitió la co</w:t>
            </w:r>
            <w:r w:rsidR="000F77F7">
              <w:t>municación</w:t>
            </w:r>
            <w:r w:rsidR="004B2588">
              <w:t xml:space="preserve"> 2024EE097805 remitiendo el visto bueno al proyecto de decreto socializado en consulta pública.</w:t>
            </w:r>
          </w:p>
          <w:p w14:paraId="092EE01A" w14:textId="77777777" w:rsidR="0092681F" w:rsidRDefault="0092681F" w:rsidP="00A04F65">
            <w:pPr>
              <w:jc w:val="both"/>
            </w:pPr>
          </w:p>
          <w:p w14:paraId="777A97B4" w14:textId="77777777" w:rsidR="0092681F" w:rsidRDefault="0092681F" w:rsidP="00A04F65">
            <w:pPr>
              <w:jc w:val="both"/>
            </w:pPr>
            <w:r>
              <w:t xml:space="preserve">Una </w:t>
            </w:r>
            <w:r w:rsidR="000F77F7">
              <w:t>vez</w:t>
            </w:r>
            <w:r>
              <w:t xml:space="preserve"> verificado el cumplimiento del procedimiento </w:t>
            </w:r>
            <w:r w:rsidR="00DC043A">
              <w:t>para la emisión de este tipo de reglamentación</w:t>
            </w:r>
            <w:r>
              <w:t xml:space="preserve">, de </w:t>
            </w:r>
            <w:r w:rsidR="000F77F7">
              <w:t xml:space="preserve">parte del despacho tanto del Ministerio de Ambiente </w:t>
            </w:r>
            <w:r w:rsidR="00DC043A">
              <w:t xml:space="preserve">y Desarrollo Sostenible </w:t>
            </w:r>
            <w:r w:rsidR="000F77F7">
              <w:t>como del de Presidencia, se firmó y expidió el Decreto 1553 de</w:t>
            </w:r>
            <w:r w:rsidR="005F4D94">
              <w:t xml:space="preserve">l 23 de diciembre </w:t>
            </w:r>
            <w:r w:rsidR="00DC043A">
              <w:t>de 2024</w:t>
            </w:r>
            <w:r w:rsidR="005F4D94">
              <w:t xml:space="preserve"> (Publicación Diario Oficial </w:t>
            </w:r>
            <w:r w:rsidR="005F4D94" w:rsidRPr="005F4D94">
              <w:t xml:space="preserve">Año CLX No. 52.979 Edición de 214 páginas Bogotá, D. C., lunes, 23 de diciembre de 2024 </w:t>
            </w:r>
            <w:proofErr w:type="spellStart"/>
            <w:r w:rsidR="005F4D94" w:rsidRPr="005F4D94">
              <w:t>pag.</w:t>
            </w:r>
            <w:proofErr w:type="spellEnd"/>
            <w:r w:rsidR="005F4D94" w:rsidRPr="005F4D94">
              <w:t xml:space="preserve"> 14</w:t>
            </w:r>
            <w:r w:rsidR="005F4D94">
              <w:t>)</w:t>
            </w:r>
            <w:r w:rsidR="000F77F7">
              <w:t xml:space="preserve"> </w:t>
            </w:r>
            <w:r w:rsidR="00DC043A">
              <w:t>“</w:t>
            </w:r>
            <w:r w:rsidR="00DC043A" w:rsidRPr="00DC043A">
              <w:rPr>
                <w:i/>
                <w:iCs/>
              </w:rPr>
              <w:t>por el cual se sustituye el Capítulo 7 del Título 9 de la Parte 2 del Libro 2, del Decreto número 1076 de 2015, Decreto Único Reglamentario del Sector Ambiente y Desarrollo Sostenible, en lo relacionado con la tasa retributiva por la utilización directa e indirecta del agua como receptor de los vertimientos puntuales y se dictan otras disposiciones</w:t>
            </w:r>
            <w:r w:rsidR="00DC043A">
              <w:t>”; dando cumplimiento tanto al PND como al proyecto consignado en el Plan de Acción del CNA.</w:t>
            </w:r>
          </w:p>
          <w:p w14:paraId="5F273650" w14:textId="77777777" w:rsidR="00DC043A" w:rsidRDefault="00DC043A" w:rsidP="00A04F65">
            <w:pPr>
              <w:jc w:val="both"/>
            </w:pPr>
          </w:p>
          <w:p w14:paraId="6D5F4734" w14:textId="04C0DF8B" w:rsidR="00DC043A" w:rsidRPr="00C409C5" w:rsidRDefault="009D3DCC" w:rsidP="00A04F65">
            <w:pPr>
              <w:jc w:val="both"/>
            </w:pPr>
            <w:r>
              <w:t xml:space="preserve">El enunciado Decreto fue publicado por el Ministerio de Ambiente y Desarrollo Sostenible en la correspondiente sección de normativa, y puede consultarse accediendo a través del siguiente enlace: &lt; </w:t>
            </w:r>
            <w:hyperlink r:id="rId6" w:history="1">
              <w:r w:rsidRPr="00906DA2">
                <w:rPr>
                  <w:rStyle w:val="Hipervnculo"/>
                </w:rPr>
                <w:t>https://www.minambiente.gov.co/wp-content/uploads/2025/01/DECRETO-1553-DE-23-DE-DICIEMBRE-DE-2024-1.pdf</w:t>
              </w:r>
            </w:hyperlink>
            <w:r>
              <w:t xml:space="preserve"> &gt;</w:t>
            </w:r>
          </w:p>
        </w:tc>
      </w:tr>
      <w:tr w:rsidR="00526AD3" w14:paraId="3A63A52C" w14:textId="77777777" w:rsidTr="0033637F">
        <w:tc>
          <w:tcPr>
            <w:tcW w:w="2405" w:type="dxa"/>
            <w:shd w:val="clear" w:color="auto" w:fill="8EAADB" w:themeFill="accent1" w:themeFillTint="99"/>
            <w:vAlign w:val="center"/>
          </w:tcPr>
          <w:p w14:paraId="37EE68FC" w14:textId="6506CF53" w:rsidR="00526AD3" w:rsidRDefault="00526AD3" w:rsidP="0033637F">
            <w:pPr>
              <w:jc w:val="center"/>
              <w:rPr>
                <w:b/>
                <w:bCs/>
              </w:rPr>
            </w:pPr>
            <w:r>
              <w:rPr>
                <w:b/>
                <w:bCs/>
              </w:rPr>
              <w:lastRenderedPageBreak/>
              <w:t>Productos alcanzados:</w:t>
            </w:r>
          </w:p>
        </w:tc>
        <w:tc>
          <w:tcPr>
            <w:tcW w:w="6423" w:type="dxa"/>
            <w:gridSpan w:val="3"/>
            <w:vAlign w:val="center"/>
          </w:tcPr>
          <w:p w14:paraId="2F5F4E98" w14:textId="24586B3F" w:rsidR="005E74D5" w:rsidRDefault="00195507" w:rsidP="005E74D5">
            <w:pPr>
              <w:pStyle w:val="Sinespaciado"/>
              <w:numPr>
                <w:ilvl w:val="0"/>
                <w:numId w:val="2"/>
              </w:numPr>
            </w:pPr>
            <w:r>
              <w:t>Evaluaciones desarrolladas</w:t>
            </w:r>
          </w:p>
          <w:p w14:paraId="54676F0B" w14:textId="77777777" w:rsidR="00195507" w:rsidRDefault="00195507" w:rsidP="004356D6">
            <w:pPr>
              <w:pStyle w:val="Sinespaciado"/>
              <w:numPr>
                <w:ilvl w:val="0"/>
                <w:numId w:val="2"/>
              </w:numPr>
              <w:jc w:val="both"/>
            </w:pPr>
            <w:r>
              <w:t>Aprobación técnica y jurídica desde las dependencias co</w:t>
            </w:r>
            <w:r w:rsidR="004356D6">
              <w:t xml:space="preserve">rrespondientes de la iniciativa normativa y sus documentos correspondientes, de conformidad con </w:t>
            </w:r>
            <w:r w:rsidR="004356D6" w:rsidRPr="004356D6">
              <w:t>el Procedimiento P-M-INA-09 – “Elaboración de Instrumentos Normativos” dispuesto en el Sistema de Gestión del Ministerio de Ambiente y Desarrollo Sostenible</w:t>
            </w:r>
            <w:r w:rsidR="004356D6">
              <w:t>.</w:t>
            </w:r>
          </w:p>
          <w:p w14:paraId="06E6EB9B" w14:textId="0B75AB81" w:rsidR="00B47767" w:rsidRDefault="00B47767" w:rsidP="004356D6">
            <w:pPr>
              <w:pStyle w:val="Sinespaciado"/>
              <w:numPr>
                <w:ilvl w:val="0"/>
                <w:numId w:val="2"/>
              </w:numPr>
              <w:jc w:val="both"/>
            </w:pPr>
            <w:r>
              <w:t xml:space="preserve">Memoria justificativa </w:t>
            </w:r>
            <w:r w:rsidR="005F4D94">
              <w:t xml:space="preserve">y documento de soporte, </w:t>
            </w:r>
            <w:r>
              <w:t>aprobad</w:t>
            </w:r>
            <w:r w:rsidR="005F4D94">
              <w:t xml:space="preserve">os </w:t>
            </w:r>
            <w:r>
              <w:t>por Oficina Asesora Jurídica</w:t>
            </w:r>
            <w:r w:rsidR="00E34617">
              <w:t xml:space="preserve">, </w:t>
            </w:r>
            <w:r w:rsidR="00DA6CE5">
              <w:t>Viceministerio de Políticas y Normalización Ambiental</w:t>
            </w:r>
            <w:r w:rsidR="005F4D94">
              <w:t xml:space="preserve"> y Despacho de Ministra.</w:t>
            </w:r>
          </w:p>
          <w:p w14:paraId="55A942E3" w14:textId="77777777" w:rsidR="006D4CB9" w:rsidRDefault="006D4CB9" w:rsidP="004356D6">
            <w:pPr>
              <w:pStyle w:val="Sinespaciado"/>
              <w:numPr>
                <w:ilvl w:val="0"/>
                <w:numId w:val="2"/>
              </w:numPr>
              <w:jc w:val="both"/>
            </w:pPr>
            <w:r>
              <w:t>Visto Bueno a la propuesta reglamentaria expedido por el Ministerio de Vivienda, Ciudad y Territorio.</w:t>
            </w:r>
          </w:p>
          <w:p w14:paraId="1B6CDCE9" w14:textId="66FB9124" w:rsidR="00012505" w:rsidRPr="005915A0" w:rsidRDefault="00012505" w:rsidP="004356D6">
            <w:pPr>
              <w:pStyle w:val="Sinespaciado"/>
              <w:numPr>
                <w:ilvl w:val="0"/>
                <w:numId w:val="2"/>
              </w:numPr>
              <w:jc w:val="both"/>
            </w:pPr>
            <w:r>
              <w:lastRenderedPageBreak/>
              <w:t>Decreto 1553 de 2024</w:t>
            </w:r>
            <w:r w:rsidR="004B2588">
              <w:t xml:space="preserve"> debidamente expedido.</w:t>
            </w:r>
          </w:p>
        </w:tc>
      </w:tr>
      <w:tr w:rsidR="0033625C" w14:paraId="741E9DAE" w14:textId="77777777" w:rsidTr="0033637F">
        <w:tc>
          <w:tcPr>
            <w:tcW w:w="2405" w:type="dxa"/>
            <w:shd w:val="clear" w:color="auto" w:fill="8EAADB" w:themeFill="accent1" w:themeFillTint="99"/>
            <w:vAlign w:val="center"/>
          </w:tcPr>
          <w:p w14:paraId="3DE9D81F" w14:textId="677A22DE" w:rsidR="0033625C" w:rsidRDefault="0033625C" w:rsidP="0033637F">
            <w:pPr>
              <w:jc w:val="center"/>
              <w:rPr>
                <w:b/>
                <w:bCs/>
              </w:rPr>
            </w:pPr>
            <w:r>
              <w:rPr>
                <w:b/>
                <w:bCs/>
              </w:rPr>
              <w:lastRenderedPageBreak/>
              <w:t>Justificación en caso de NO cumplir con la entrega del producto en el plazo fijado en el Plan de Acción del CNA</w:t>
            </w:r>
          </w:p>
        </w:tc>
        <w:tc>
          <w:tcPr>
            <w:tcW w:w="6423" w:type="dxa"/>
            <w:gridSpan w:val="3"/>
            <w:vAlign w:val="center"/>
          </w:tcPr>
          <w:p w14:paraId="36C1CECE" w14:textId="77777777" w:rsidR="0043302D" w:rsidRDefault="0043302D" w:rsidP="006D1E68">
            <w:pPr>
              <w:jc w:val="both"/>
            </w:pPr>
          </w:p>
          <w:p w14:paraId="39ADF625" w14:textId="599F523A" w:rsidR="0043302D" w:rsidRDefault="0043302D" w:rsidP="006D1E68">
            <w:pPr>
              <w:jc w:val="both"/>
            </w:pPr>
            <w:r>
              <w:t>Si bien el Plan de Acción del CNA establecía como fecha de cumplimiento el 30 de julio de 2024,</w:t>
            </w:r>
            <w:r w:rsidR="00BE3B70">
              <w:t xml:space="preserve"> conforme a</w:t>
            </w:r>
            <w:r w:rsidR="00B47767">
              <w:t>l reporte enviado a la DGIRH el pasado 20/11/2024, se informó lo siguiente</w:t>
            </w:r>
          </w:p>
          <w:p w14:paraId="6D7FB842" w14:textId="77777777" w:rsidR="0043302D" w:rsidRDefault="0043302D" w:rsidP="006D1E68">
            <w:pPr>
              <w:jc w:val="both"/>
            </w:pPr>
          </w:p>
          <w:p w14:paraId="3BF45BAE" w14:textId="1ECB2BA8" w:rsidR="0033625C" w:rsidRPr="00E34617" w:rsidRDefault="00B47767" w:rsidP="00E34617">
            <w:pPr>
              <w:ind w:left="318"/>
              <w:jc w:val="both"/>
              <w:rPr>
                <w:i/>
                <w:iCs/>
                <w:sz w:val="20"/>
                <w:szCs w:val="20"/>
              </w:rPr>
            </w:pPr>
            <w:r w:rsidRPr="00E34617">
              <w:rPr>
                <w:i/>
                <w:iCs/>
                <w:sz w:val="20"/>
                <w:szCs w:val="20"/>
              </w:rPr>
              <w:t>“</w:t>
            </w:r>
            <w:r w:rsidR="00F5152B" w:rsidRPr="00E34617">
              <w:rPr>
                <w:i/>
                <w:iCs/>
                <w:sz w:val="20"/>
                <w:szCs w:val="20"/>
              </w:rPr>
              <w:t>Teniendo en cuenta la complejidad de la temática trabajada; la gestión requerida para la obtención de información por parte de las autoridades ambientales y prestadores del servicio público de alcantarillado; el tiempo que demanda el procesamiento y análisis de información</w:t>
            </w:r>
            <w:r w:rsidR="002A0320" w:rsidRPr="00E34617">
              <w:rPr>
                <w:i/>
                <w:iCs/>
                <w:sz w:val="20"/>
                <w:szCs w:val="20"/>
              </w:rPr>
              <w:t>;</w:t>
            </w:r>
            <w:r w:rsidR="00F5152B" w:rsidRPr="00E34617">
              <w:rPr>
                <w:i/>
                <w:iCs/>
                <w:sz w:val="20"/>
                <w:szCs w:val="20"/>
              </w:rPr>
              <w:t xml:space="preserve"> la evaluación de metodologías </w:t>
            </w:r>
            <w:r w:rsidR="002A0320" w:rsidRPr="00E34617">
              <w:rPr>
                <w:i/>
                <w:iCs/>
                <w:sz w:val="20"/>
                <w:szCs w:val="20"/>
              </w:rPr>
              <w:t xml:space="preserve">y selección de variables </w:t>
            </w:r>
            <w:r w:rsidR="00F5152B" w:rsidRPr="00E34617">
              <w:rPr>
                <w:i/>
                <w:iCs/>
                <w:sz w:val="20"/>
                <w:szCs w:val="20"/>
              </w:rPr>
              <w:t xml:space="preserve">que </w:t>
            </w:r>
            <w:r w:rsidR="002A0320" w:rsidRPr="00E34617">
              <w:rPr>
                <w:i/>
                <w:iCs/>
                <w:sz w:val="20"/>
                <w:szCs w:val="20"/>
              </w:rPr>
              <w:t xml:space="preserve">sustenten </w:t>
            </w:r>
            <w:r w:rsidR="00F5152B" w:rsidRPr="00E34617">
              <w:rPr>
                <w:i/>
                <w:iCs/>
                <w:sz w:val="20"/>
                <w:szCs w:val="20"/>
              </w:rPr>
              <w:t>la reorientación de la f</w:t>
            </w:r>
            <w:r w:rsidR="00C92EB0" w:rsidRPr="00E34617">
              <w:rPr>
                <w:i/>
                <w:iCs/>
                <w:sz w:val="20"/>
                <w:szCs w:val="20"/>
              </w:rPr>
              <w:t>ó</w:t>
            </w:r>
            <w:r w:rsidR="00F5152B" w:rsidRPr="00E34617">
              <w:rPr>
                <w:i/>
                <w:iCs/>
                <w:sz w:val="20"/>
                <w:szCs w:val="20"/>
              </w:rPr>
              <w:t>rmula de c</w:t>
            </w:r>
            <w:r w:rsidR="00C92EB0" w:rsidRPr="00E34617">
              <w:rPr>
                <w:i/>
                <w:iCs/>
                <w:sz w:val="20"/>
                <w:szCs w:val="20"/>
              </w:rPr>
              <w:t>á</w:t>
            </w:r>
            <w:r w:rsidR="00F5152B" w:rsidRPr="00E34617">
              <w:rPr>
                <w:i/>
                <w:iCs/>
                <w:sz w:val="20"/>
                <w:szCs w:val="20"/>
              </w:rPr>
              <w:t xml:space="preserve">lculo de la Tasa Retributiva por </w:t>
            </w:r>
            <w:r w:rsidR="002A0320" w:rsidRPr="00E34617">
              <w:rPr>
                <w:i/>
                <w:iCs/>
                <w:sz w:val="20"/>
                <w:szCs w:val="20"/>
              </w:rPr>
              <w:t>Vertimientos</w:t>
            </w:r>
            <w:r w:rsidR="00F5152B" w:rsidRPr="00E34617">
              <w:rPr>
                <w:i/>
                <w:iCs/>
                <w:sz w:val="20"/>
                <w:szCs w:val="20"/>
              </w:rPr>
              <w:t xml:space="preserve"> Puntuales al Agua</w:t>
            </w:r>
            <w:r w:rsidR="006D1E68" w:rsidRPr="00E34617">
              <w:rPr>
                <w:i/>
                <w:iCs/>
                <w:sz w:val="20"/>
                <w:szCs w:val="20"/>
              </w:rPr>
              <w:t xml:space="preserve">, </w:t>
            </w:r>
            <w:r w:rsidR="00877199" w:rsidRPr="00E34617">
              <w:rPr>
                <w:i/>
                <w:iCs/>
                <w:sz w:val="20"/>
                <w:szCs w:val="20"/>
              </w:rPr>
              <w:t xml:space="preserve">se reportó con la ficha del pasado 31 de julio la necesidad de aumentar </w:t>
            </w:r>
            <w:r w:rsidR="006D1E68" w:rsidRPr="00E34617">
              <w:rPr>
                <w:i/>
                <w:iCs/>
                <w:sz w:val="20"/>
                <w:szCs w:val="20"/>
              </w:rPr>
              <w:t>el plazo para la entrega de</w:t>
            </w:r>
            <w:r w:rsidR="00C92EB0" w:rsidRPr="00E34617">
              <w:rPr>
                <w:i/>
                <w:iCs/>
                <w:sz w:val="20"/>
                <w:szCs w:val="20"/>
              </w:rPr>
              <w:t xml:space="preserve"> los</w:t>
            </w:r>
            <w:r w:rsidR="006D1E68" w:rsidRPr="00E34617">
              <w:rPr>
                <w:i/>
                <w:iCs/>
                <w:sz w:val="20"/>
                <w:szCs w:val="20"/>
              </w:rPr>
              <w:t xml:space="preserve"> productos de la propuesta de reglamentación. </w:t>
            </w:r>
          </w:p>
          <w:p w14:paraId="1CE1821D" w14:textId="77777777" w:rsidR="00877199" w:rsidRPr="00E34617" w:rsidRDefault="00877199" w:rsidP="00E34617">
            <w:pPr>
              <w:ind w:left="318"/>
              <w:jc w:val="both"/>
              <w:rPr>
                <w:i/>
                <w:iCs/>
                <w:sz w:val="20"/>
                <w:szCs w:val="20"/>
              </w:rPr>
            </w:pPr>
          </w:p>
          <w:p w14:paraId="4654A509" w14:textId="77777777" w:rsidR="00877199" w:rsidRPr="00E34617" w:rsidRDefault="00877199" w:rsidP="00E34617">
            <w:pPr>
              <w:ind w:left="318"/>
              <w:jc w:val="both"/>
              <w:rPr>
                <w:i/>
                <w:iCs/>
                <w:sz w:val="20"/>
                <w:szCs w:val="20"/>
              </w:rPr>
            </w:pPr>
            <w:r w:rsidRPr="00E34617">
              <w:rPr>
                <w:i/>
                <w:iCs/>
                <w:sz w:val="20"/>
                <w:szCs w:val="20"/>
              </w:rPr>
              <w:t>Adicionalmente deben tenerse en cuenta que espacios de trabajo como las mesas de trabajo tanto con el Ministerio de Vivienda Ciudad y Territorio para la articulación correspondiente</w:t>
            </w:r>
            <w:r w:rsidR="00160D21" w:rsidRPr="00E34617">
              <w:rPr>
                <w:i/>
                <w:iCs/>
                <w:sz w:val="20"/>
                <w:szCs w:val="20"/>
              </w:rPr>
              <w:t xml:space="preserve"> y verificación del cumplimiento de la hoja de ruta</w:t>
            </w:r>
            <w:r w:rsidRPr="00E34617">
              <w:rPr>
                <w:i/>
                <w:iCs/>
                <w:sz w:val="20"/>
                <w:szCs w:val="20"/>
              </w:rPr>
              <w:t xml:space="preserve">, </w:t>
            </w:r>
            <w:r w:rsidR="00160D21" w:rsidRPr="00E34617">
              <w:rPr>
                <w:i/>
                <w:iCs/>
                <w:sz w:val="20"/>
                <w:szCs w:val="20"/>
              </w:rPr>
              <w:t xml:space="preserve">así </w:t>
            </w:r>
            <w:r w:rsidRPr="00E34617">
              <w:rPr>
                <w:i/>
                <w:iCs/>
                <w:sz w:val="20"/>
                <w:szCs w:val="20"/>
              </w:rPr>
              <w:t xml:space="preserve">las acciones de consolidación de la iniciativa normativa, presentación de la misma ante los despachos </w:t>
            </w:r>
            <w:r w:rsidR="00160D21" w:rsidRPr="00E34617">
              <w:rPr>
                <w:i/>
                <w:iCs/>
                <w:sz w:val="20"/>
                <w:szCs w:val="20"/>
              </w:rPr>
              <w:t xml:space="preserve">del Viceministerio de Políticas y Normalización Ambiental </w:t>
            </w:r>
            <w:r w:rsidR="00D617A4" w:rsidRPr="00E34617">
              <w:rPr>
                <w:i/>
                <w:iCs/>
                <w:sz w:val="20"/>
                <w:szCs w:val="20"/>
              </w:rPr>
              <w:t>y dela Oficina Asesora Jurídica, así como la atención  de las observaciones emitidas por estas dependencias en marco de su revisión correspondiente implicó el aumento de los tiempos previstos en el cumplimiento de la totalidad de hitos establecidos en el Plan de Acción del CNA</w:t>
            </w:r>
            <w:r w:rsidR="00B47767" w:rsidRPr="00E34617">
              <w:rPr>
                <w:i/>
                <w:iCs/>
                <w:sz w:val="20"/>
                <w:szCs w:val="20"/>
              </w:rPr>
              <w:t>"</w:t>
            </w:r>
            <w:r w:rsidR="00D617A4" w:rsidRPr="00E34617">
              <w:rPr>
                <w:i/>
                <w:iCs/>
                <w:sz w:val="20"/>
                <w:szCs w:val="20"/>
              </w:rPr>
              <w:t>.</w:t>
            </w:r>
          </w:p>
          <w:p w14:paraId="5968D67E" w14:textId="77777777" w:rsidR="00E34617" w:rsidRDefault="00E34617" w:rsidP="006D1E68">
            <w:pPr>
              <w:jc w:val="both"/>
            </w:pPr>
          </w:p>
          <w:p w14:paraId="534DEAA5" w14:textId="443EBFA1" w:rsidR="00E34617" w:rsidRPr="00E34617" w:rsidRDefault="00E34617" w:rsidP="006D1E68">
            <w:pPr>
              <w:jc w:val="both"/>
            </w:pPr>
            <w:r>
              <w:t>Con base a tal justificación se solicito una ampliación hasta el 31 de diciembre de 2024 para dar cumplimiento al hito 5, dicho plazo permitió cumplir con la entrega del producto faltante.</w:t>
            </w:r>
          </w:p>
          <w:p w14:paraId="4F1502F0" w14:textId="735680DA" w:rsidR="00E34617" w:rsidRPr="00F5152B" w:rsidRDefault="00E34617" w:rsidP="006D1E68">
            <w:pPr>
              <w:jc w:val="both"/>
            </w:pPr>
          </w:p>
        </w:tc>
      </w:tr>
      <w:tr w:rsidR="0033625C" w14:paraId="58E56F27" w14:textId="77777777" w:rsidTr="0033637F">
        <w:tc>
          <w:tcPr>
            <w:tcW w:w="2405" w:type="dxa"/>
            <w:shd w:val="clear" w:color="auto" w:fill="8EAADB" w:themeFill="accent1" w:themeFillTint="99"/>
            <w:vAlign w:val="center"/>
          </w:tcPr>
          <w:p w14:paraId="4902FA84" w14:textId="5296B3E2" w:rsidR="0033625C" w:rsidRDefault="0033625C" w:rsidP="0033637F">
            <w:pPr>
              <w:jc w:val="center"/>
              <w:rPr>
                <w:b/>
                <w:bCs/>
              </w:rPr>
            </w:pPr>
            <w:r>
              <w:rPr>
                <w:b/>
                <w:bCs/>
              </w:rPr>
              <w:t>Propuesta de ajuste de cronograma para los productos no entregados en los plazos fijados en el Plan de Acción del CNA</w:t>
            </w:r>
          </w:p>
        </w:tc>
        <w:tc>
          <w:tcPr>
            <w:tcW w:w="6423" w:type="dxa"/>
            <w:gridSpan w:val="3"/>
            <w:vAlign w:val="center"/>
          </w:tcPr>
          <w:p w14:paraId="12516D94" w14:textId="3C428BFF" w:rsidR="0033625C" w:rsidRDefault="0043302D" w:rsidP="008E2CA8">
            <w:pPr>
              <w:jc w:val="both"/>
              <w:rPr>
                <w:b/>
                <w:bCs/>
              </w:rPr>
            </w:pPr>
            <w:r>
              <w:t>Conforme a lo señalado en la presente ficha, no s</w:t>
            </w:r>
            <w:r w:rsidR="008E2CA8" w:rsidRPr="008E2CA8">
              <w:t>e requiere ampliar el</w:t>
            </w:r>
            <w:r w:rsidR="00F5152B">
              <w:t xml:space="preserve"> horizonte de ejecución</w:t>
            </w:r>
            <w:r w:rsidR="006D1E68">
              <w:t xml:space="preserve"> de la acción</w:t>
            </w:r>
            <w:r w:rsidR="00F5152B">
              <w:t xml:space="preserve"> </w:t>
            </w:r>
            <w:r>
              <w:t>al darse ya cumplimiento a la misma.</w:t>
            </w:r>
            <w:r w:rsidR="00F5152B">
              <w:t xml:space="preserve"> </w:t>
            </w:r>
          </w:p>
        </w:tc>
      </w:tr>
      <w:tr w:rsidR="0033637F" w14:paraId="6D85EDE6" w14:textId="77777777" w:rsidTr="0033637F">
        <w:tc>
          <w:tcPr>
            <w:tcW w:w="2405" w:type="dxa"/>
            <w:shd w:val="clear" w:color="auto" w:fill="8EAADB" w:themeFill="accent1" w:themeFillTint="99"/>
            <w:vAlign w:val="center"/>
          </w:tcPr>
          <w:p w14:paraId="3F38D99F" w14:textId="46DAE17E" w:rsidR="0033637F" w:rsidRDefault="0033637F" w:rsidP="0033637F">
            <w:pPr>
              <w:jc w:val="center"/>
              <w:rPr>
                <w:b/>
                <w:bCs/>
              </w:rPr>
            </w:pPr>
            <w:r>
              <w:rPr>
                <w:b/>
                <w:bCs/>
              </w:rPr>
              <w:t>Entidades con las que se articularon acciones:</w:t>
            </w:r>
          </w:p>
        </w:tc>
        <w:tc>
          <w:tcPr>
            <w:tcW w:w="6423" w:type="dxa"/>
            <w:gridSpan w:val="3"/>
            <w:vAlign w:val="center"/>
          </w:tcPr>
          <w:p w14:paraId="03018CDF" w14:textId="1FCE2482" w:rsidR="0033637F" w:rsidRDefault="00844AD3" w:rsidP="00D617A4">
            <w:pPr>
              <w:jc w:val="both"/>
              <w:rPr>
                <w:b/>
                <w:bCs/>
              </w:rPr>
            </w:pPr>
            <w:r>
              <w:t xml:space="preserve">Ministerio de Ambiente y Desarrollo Sostenible; Ministerio de Vivienda, Ciudad y Territorio, </w:t>
            </w:r>
            <w:r w:rsidR="008E2CA8" w:rsidRPr="00B363CC">
              <w:t>Autoridades Ambientales y Prestadores del Servicio Público de Alcantarillado</w:t>
            </w:r>
            <w:r>
              <w:t>.</w:t>
            </w:r>
          </w:p>
        </w:tc>
      </w:tr>
      <w:tr w:rsidR="0033637F" w14:paraId="1CD51AFD" w14:textId="77777777" w:rsidTr="0033637F">
        <w:tc>
          <w:tcPr>
            <w:tcW w:w="2405" w:type="dxa"/>
            <w:shd w:val="clear" w:color="auto" w:fill="8EAADB" w:themeFill="accent1" w:themeFillTint="99"/>
            <w:vAlign w:val="center"/>
          </w:tcPr>
          <w:p w14:paraId="36F0C5F1" w14:textId="160D9384" w:rsidR="0033637F" w:rsidRDefault="0033637F" w:rsidP="0033637F">
            <w:pPr>
              <w:jc w:val="center"/>
              <w:rPr>
                <w:b/>
                <w:bCs/>
              </w:rPr>
            </w:pPr>
            <w:r>
              <w:rPr>
                <w:b/>
                <w:bCs/>
              </w:rPr>
              <w:t>Nombre de quien reporta:</w:t>
            </w:r>
          </w:p>
        </w:tc>
        <w:tc>
          <w:tcPr>
            <w:tcW w:w="6423" w:type="dxa"/>
            <w:gridSpan w:val="3"/>
            <w:vAlign w:val="center"/>
          </w:tcPr>
          <w:p w14:paraId="2EC3A693" w14:textId="77777777" w:rsidR="005E74D5" w:rsidRDefault="005E74D5" w:rsidP="008E2CA8">
            <w:pPr>
              <w:jc w:val="center"/>
            </w:pPr>
          </w:p>
          <w:p w14:paraId="23709235" w14:textId="48D7F2F6" w:rsidR="005E74D5" w:rsidRDefault="007F4D2A" w:rsidP="008E2CA8">
            <w:pPr>
              <w:jc w:val="center"/>
            </w:pPr>
            <w:r>
              <w:t>Eliana Andrea Fonseca Sepúlveda</w:t>
            </w:r>
          </w:p>
          <w:p w14:paraId="416EC2AA" w14:textId="425B2051" w:rsidR="005E74D5" w:rsidRDefault="005E74D5" w:rsidP="008E2CA8">
            <w:pPr>
              <w:jc w:val="center"/>
            </w:pPr>
            <w:r>
              <w:t xml:space="preserve"> Profesional Especializado </w:t>
            </w:r>
            <w:r w:rsidRPr="00B363CC">
              <w:t xml:space="preserve">– Oficina de </w:t>
            </w:r>
            <w:r w:rsidR="006D4CB9">
              <w:t>N</w:t>
            </w:r>
            <w:r w:rsidRPr="00B363CC">
              <w:t>egocios Verdes y Sostenibles</w:t>
            </w:r>
          </w:p>
          <w:p w14:paraId="370F3038" w14:textId="0E05FCEC" w:rsidR="008E2CA8" w:rsidRDefault="005E74D5" w:rsidP="008E2CA8">
            <w:pPr>
              <w:jc w:val="center"/>
            </w:pPr>
            <w:r w:rsidRPr="00B363CC">
              <w:t>Ministerio</w:t>
            </w:r>
            <w:r>
              <w:t xml:space="preserve"> de</w:t>
            </w:r>
            <w:r w:rsidR="008E2CA8" w:rsidRPr="00B363CC">
              <w:t xml:space="preserve"> </w:t>
            </w:r>
            <w:r w:rsidR="008E2CA8">
              <w:t>Ambiente y Desarrollo Sostenible</w:t>
            </w:r>
            <w:r w:rsidR="008E2CA8" w:rsidRPr="00B363CC">
              <w:t xml:space="preserve"> </w:t>
            </w:r>
          </w:p>
          <w:p w14:paraId="4DE672F6" w14:textId="3B1BE65F" w:rsidR="005E74D5" w:rsidRPr="008E2CA8" w:rsidRDefault="005E74D5" w:rsidP="00D17F66"/>
        </w:tc>
      </w:tr>
      <w:tr w:rsidR="0033637F" w14:paraId="6998C880" w14:textId="77777777" w:rsidTr="0033637F">
        <w:tc>
          <w:tcPr>
            <w:tcW w:w="2405" w:type="dxa"/>
            <w:shd w:val="clear" w:color="auto" w:fill="8EAADB" w:themeFill="accent1" w:themeFillTint="99"/>
            <w:vAlign w:val="center"/>
          </w:tcPr>
          <w:p w14:paraId="73BD65B2" w14:textId="21E0FB88" w:rsidR="0033637F" w:rsidRDefault="0033637F" w:rsidP="0033637F">
            <w:pPr>
              <w:jc w:val="center"/>
              <w:rPr>
                <w:b/>
                <w:bCs/>
              </w:rPr>
            </w:pPr>
            <w:r>
              <w:rPr>
                <w:b/>
                <w:bCs/>
              </w:rPr>
              <w:t>Fecha del reporte:</w:t>
            </w:r>
          </w:p>
        </w:tc>
        <w:tc>
          <w:tcPr>
            <w:tcW w:w="6423" w:type="dxa"/>
            <w:gridSpan w:val="3"/>
            <w:vAlign w:val="center"/>
          </w:tcPr>
          <w:p w14:paraId="43F3588C" w14:textId="04B6402C" w:rsidR="0033637F" w:rsidRPr="008E2CA8" w:rsidRDefault="006D4CB9" w:rsidP="0033637F">
            <w:pPr>
              <w:jc w:val="center"/>
            </w:pPr>
            <w:r>
              <w:t>24 de junio de 2025</w:t>
            </w:r>
          </w:p>
        </w:tc>
      </w:tr>
    </w:tbl>
    <w:p w14:paraId="7919412D" w14:textId="77777777" w:rsidR="0033637F" w:rsidRDefault="0033637F" w:rsidP="009D3DCC">
      <w:pPr>
        <w:rPr>
          <w:b/>
          <w:bCs/>
        </w:rPr>
      </w:pPr>
    </w:p>
    <w:p w14:paraId="15C5FBAC" w14:textId="77777777" w:rsidR="0033637F" w:rsidRPr="00DD5AC8" w:rsidRDefault="0033637F" w:rsidP="0033637F">
      <w:pPr>
        <w:jc w:val="both"/>
        <w:rPr>
          <w:b/>
          <w:bCs/>
        </w:rPr>
      </w:pPr>
    </w:p>
    <w:sectPr w:rsidR="0033637F" w:rsidRPr="00DD5AC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4055EC"/>
    <w:multiLevelType w:val="hybridMultilevel"/>
    <w:tmpl w:val="173836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D4C217B"/>
    <w:multiLevelType w:val="hybridMultilevel"/>
    <w:tmpl w:val="8A882B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91592566">
    <w:abstractNumId w:val="1"/>
  </w:num>
  <w:num w:numId="2" w16cid:durableId="1970471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AC8"/>
    <w:rsid w:val="00012505"/>
    <w:rsid w:val="000344CA"/>
    <w:rsid w:val="000D4687"/>
    <w:rsid w:val="000F77F7"/>
    <w:rsid w:val="00160D21"/>
    <w:rsid w:val="00195507"/>
    <w:rsid w:val="002A0320"/>
    <w:rsid w:val="003353B2"/>
    <w:rsid w:val="0033625C"/>
    <w:rsid w:val="0033637F"/>
    <w:rsid w:val="0041075F"/>
    <w:rsid w:val="0043302D"/>
    <w:rsid w:val="004356D6"/>
    <w:rsid w:val="0045384B"/>
    <w:rsid w:val="00457D9C"/>
    <w:rsid w:val="0048533D"/>
    <w:rsid w:val="004B2588"/>
    <w:rsid w:val="00526AD3"/>
    <w:rsid w:val="005915A0"/>
    <w:rsid w:val="005A1947"/>
    <w:rsid w:val="005E74D5"/>
    <w:rsid w:val="005F24FB"/>
    <w:rsid w:val="005F4D94"/>
    <w:rsid w:val="0060093A"/>
    <w:rsid w:val="00630363"/>
    <w:rsid w:val="00662115"/>
    <w:rsid w:val="006A674A"/>
    <w:rsid w:val="006D1E68"/>
    <w:rsid w:val="006D4CB9"/>
    <w:rsid w:val="007A2894"/>
    <w:rsid w:val="007B2061"/>
    <w:rsid w:val="007F4D2A"/>
    <w:rsid w:val="00844AD3"/>
    <w:rsid w:val="00877199"/>
    <w:rsid w:val="008A113A"/>
    <w:rsid w:val="008E2CA8"/>
    <w:rsid w:val="0092681F"/>
    <w:rsid w:val="009D3DCC"/>
    <w:rsid w:val="009F1A8B"/>
    <w:rsid w:val="00A04F65"/>
    <w:rsid w:val="00AB42A3"/>
    <w:rsid w:val="00B214CC"/>
    <w:rsid w:val="00B25AE5"/>
    <w:rsid w:val="00B47767"/>
    <w:rsid w:val="00B92E1A"/>
    <w:rsid w:val="00BD30EC"/>
    <w:rsid w:val="00BE270E"/>
    <w:rsid w:val="00BE3B70"/>
    <w:rsid w:val="00C12919"/>
    <w:rsid w:val="00C30156"/>
    <w:rsid w:val="00C409C5"/>
    <w:rsid w:val="00C92EB0"/>
    <w:rsid w:val="00CA6AE9"/>
    <w:rsid w:val="00CD55EC"/>
    <w:rsid w:val="00CE1B44"/>
    <w:rsid w:val="00CE399E"/>
    <w:rsid w:val="00CE585B"/>
    <w:rsid w:val="00D17F66"/>
    <w:rsid w:val="00D617A4"/>
    <w:rsid w:val="00DA6CE5"/>
    <w:rsid w:val="00DC043A"/>
    <w:rsid w:val="00DD5AC8"/>
    <w:rsid w:val="00E34617"/>
    <w:rsid w:val="00E67946"/>
    <w:rsid w:val="00E808D9"/>
    <w:rsid w:val="00EE7CF1"/>
    <w:rsid w:val="00F13BF2"/>
    <w:rsid w:val="00F260B9"/>
    <w:rsid w:val="00F3532A"/>
    <w:rsid w:val="00F5152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1295F"/>
  <w15:chartTrackingRefBased/>
  <w15:docId w15:val="{D6C72238-891C-490E-BE09-E82FE77DB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526A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B214CC"/>
    <w:pPr>
      <w:ind w:left="720"/>
      <w:contextualSpacing/>
    </w:pPr>
  </w:style>
  <w:style w:type="paragraph" w:styleId="Sinespaciado">
    <w:name w:val="No Spacing"/>
    <w:uiPriority w:val="1"/>
    <w:qFormat/>
    <w:rsid w:val="005915A0"/>
    <w:pPr>
      <w:spacing w:after="0" w:line="240" w:lineRule="auto"/>
    </w:pPr>
    <w:rPr>
      <w:rFonts w:ascii="Calibri" w:eastAsia="Calibri" w:hAnsi="Calibri" w:cs="Times New Roman"/>
      <w:kern w:val="0"/>
      <w14:ligatures w14:val="none"/>
    </w:rPr>
  </w:style>
  <w:style w:type="character" w:styleId="Hipervnculo">
    <w:name w:val="Hyperlink"/>
    <w:basedOn w:val="Fuentedeprrafopredeter"/>
    <w:uiPriority w:val="99"/>
    <w:unhideWhenUsed/>
    <w:rsid w:val="0045384B"/>
    <w:rPr>
      <w:color w:val="0563C1" w:themeColor="hyperlink"/>
      <w:u w:val="single"/>
    </w:rPr>
  </w:style>
  <w:style w:type="character" w:styleId="Mencinsinresolver">
    <w:name w:val="Unresolved Mention"/>
    <w:basedOn w:val="Fuentedeprrafopredeter"/>
    <w:uiPriority w:val="99"/>
    <w:semiHidden/>
    <w:unhideWhenUsed/>
    <w:rsid w:val="004538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004310">
      <w:bodyDiv w:val="1"/>
      <w:marLeft w:val="0"/>
      <w:marRight w:val="0"/>
      <w:marTop w:val="0"/>
      <w:marBottom w:val="0"/>
      <w:divBdr>
        <w:top w:val="none" w:sz="0" w:space="0" w:color="auto"/>
        <w:left w:val="none" w:sz="0" w:space="0" w:color="auto"/>
        <w:bottom w:val="none" w:sz="0" w:space="0" w:color="auto"/>
        <w:right w:val="none" w:sz="0" w:space="0" w:color="auto"/>
      </w:divBdr>
    </w:div>
    <w:div w:id="1025135089">
      <w:bodyDiv w:val="1"/>
      <w:marLeft w:val="0"/>
      <w:marRight w:val="0"/>
      <w:marTop w:val="0"/>
      <w:marBottom w:val="0"/>
      <w:divBdr>
        <w:top w:val="none" w:sz="0" w:space="0" w:color="auto"/>
        <w:left w:val="none" w:sz="0" w:space="0" w:color="auto"/>
        <w:bottom w:val="none" w:sz="0" w:space="0" w:color="auto"/>
        <w:right w:val="none" w:sz="0" w:space="0" w:color="auto"/>
      </w:divBdr>
    </w:div>
    <w:div w:id="1189417167">
      <w:bodyDiv w:val="1"/>
      <w:marLeft w:val="0"/>
      <w:marRight w:val="0"/>
      <w:marTop w:val="0"/>
      <w:marBottom w:val="0"/>
      <w:divBdr>
        <w:top w:val="none" w:sz="0" w:space="0" w:color="auto"/>
        <w:left w:val="none" w:sz="0" w:space="0" w:color="auto"/>
        <w:bottom w:val="none" w:sz="0" w:space="0" w:color="auto"/>
        <w:right w:val="none" w:sz="0" w:space="0" w:color="auto"/>
      </w:divBdr>
    </w:div>
    <w:div w:id="124421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inambiente.gov.co/wp-content/uploads/2025/01/DECRETO-1553-DE-23-DE-DICIEMBRE-DE-2024-1.pdf" TargetMode="External"/><Relationship Id="rId5" Type="http://schemas.openxmlformats.org/officeDocument/2006/relationships/hyperlink" Target="https://www.minambiente.gov.co/consulta/por-el-cual-se-sustituye-el-capitulo-7-del-titulo-9-de-la-parte-2-del-libro-2-del-decreto-1076-de-2015-decreto-unico-reglamentario-del-sector-ambiente-y-desarrollo-sostenible-en-lo-relacio/"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1088</Words>
  <Characters>5988</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Francy Navarro Cuervo</dc:creator>
  <cp:keywords/>
  <dc:description/>
  <cp:lastModifiedBy>Eliana Andrea Fonseca Sepulveda</cp:lastModifiedBy>
  <cp:revision>2</cp:revision>
  <dcterms:created xsi:type="dcterms:W3CDTF">2025-06-24T16:00:00Z</dcterms:created>
  <dcterms:modified xsi:type="dcterms:W3CDTF">2025-06-24T16:00:00Z</dcterms:modified>
</cp:coreProperties>
</file>